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b/>
          <w:sz w:val="36"/>
          <w:szCs w:val="36"/>
        </w:rPr>
      </w:pPr>
      <w:r>
        <w:rPr>
          <w:rFonts w:hint="eastAsia" w:asciiTheme="minorEastAsia" w:hAnsiTheme="minorEastAsia"/>
          <w:b/>
          <w:sz w:val="36"/>
          <w:szCs w:val="36"/>
        </w:rPr>
        <w:t>中国人民政治协商会议北京市门头沟区委员会</w:t>
      </w:r>
    </w:p>
    <w:p>
      <w:pPr>
        <w:jc w:val="center"/>
        <w:rPr>
          <w:rFonts w:asciiTheme="minorEastAsia" w:hAnsiTheme="minorEastAsia"/>
          <w:b/>
          <w:sz w:val="36"/>
          <w:szCs w:val="36"/>
        </w:rPr>
      </w:pPr>
      <w:r>
        <w:rPr>
          <w:rFonts w:hint="eastAsia" w:asciiTheme="minorEastAsia" w:hAnsiTheme="minorEastAsia"/>
          <w:b/>
          <w:sz w:val="36"/>
          <w:szCs w:val="36"/>
        </w:rPr>
        <w:t>2025年度重点支出项目绩效</w:t>
      </w:r>
      <w:r>
        <w:rPr>
          <w:rFonts w:asciiTheme="minorEastAsia" w:hAnsiTheme="minorEastAsia"/>
          <w:b/>
          <w:sz w:val="36"/>
          <w:szCs w:val="36"/>
        </w:rPr>
        <w:t>自评报告</w:t>
      </w:r>
    </w:p>
    <w:p>
      <w:pPr>
        <w:jc w:val="center"/>
        <w:rPr>
          <w:rFonts w:ascii="仿宋_GB2312" w:hAnsi="Times New Roman" w:eastAsia="仿宋_GB2312"/>
          <w:sz w:val="32"/>
          <w:szCs w:val="32"/>
        </w:rPr>
      </w:pPr>
      <w:r>
        <w:rPr>
          <w:rFonts w:hint="eastAsia" w:ascii="仿宋_GB2312" w:hAnsi="Times New Roman" w:eastAsia="仿宋_GB2312"/>
          <w:sz w:val="32"/>
          <w:szCs w:val="32"/>
        </w:rPr>
        <w:t>（2</w:t>
      </w:r>
      <w:r>
        <w:rPr>
          <w:rFonts w:ascii="仿宋_GB2312" w:hAnsi="Times New Roman" w:eastAsia="仿宋_GB2312"/>
          <w:sz w:val="32"/>
          <w:szCs w:val="32"/>
        </w:rPr>
        <w:t>02</w:t>
      </w:r>
      <w:r>
        <w:rPr>
          <w:rFonts w:hint="eastAsia" w:ascii="仿宋_GB2312" w:hAnsi="Times New Roman" w:eastAsia="仿宋_GB2312"/>
          <w:sz w:val="32"/>
          <w:szCs w:val="32"/>
        </w:rPr>
        <w:t>5年度）</w:t>
      </w:r>
    </w:p>
    <w:p>
      <w:pPr>
        <w:spacing w:line="520" w:lineRule="exact"/>
        <w:rPr>
          <w:rFonts w:ascii="仿宋_GB2312" w:eastAsia="仿宋_GB2312"/>
          <w:sz w:val="28"/>
          <w:szCs w:val="28"/>
        </w:rPr>
      </w:pPr>
    </w:p>
    <w:p>
      <w:pPr>
        <w:spacing w:line="520" w:lineRule="exact"/>
        <w:ind w:firstLine="640" w:firstLineChars="200"/>
        <w:rPr>
          <w:rFonts w:ascii="黑体" w:hAnsi="黑体" w:eastAsia="黑体" w:cs="黑体"/>
          <w:bCs/>
          <w:sz w:val="32"/>
          <w:szCs w:val="32"/>
        </w:rPr>
      </w:pPr>
      <w:r>
        <w:rPr>
          <w:rFonts w:hint="eastAsia" w:ascii="黑体" w:hAnsi="黑体" w:eastAsia="黑体" w:cs="黑体"/>
          <w:bCs/>
          <w:sz w:val="32"/>
          <w:szCs w:val="32"/>
        </w:rPr>
        <w:t>一、基本情况</w:t>
      </w:r>
    </w:p>
    <w:p>
      <w:pPr>
        <w:spacing w:line="520" w:lineRule="exact"/>
        <w:ind w:firstLine="643" w:firstLineChars="200"/>
        <w:outlineLvl w:val="0"/>
        <w:rPr>
          <w:rFonts w:ascii="楷体_GB2312" w:eastAsia="楷体_GB2312"/>
          <w:b/>
          <w:color w:val="000000"/>
          <w:sz w:val="32"/>
          <w:szCs w:val="32"/>
        </w:rPr>
      </w:pPr>
      <w:r>
        <w:rPr>
          <w:rFonts w:hint="eastAsia" w:ascii="楷体_GB2312" w:eastAsia="楷体_GB2312"/>
          <w:b/>
          <w:color w:val="000000"/>
          <w:sz w:val="32"/>
          <w:szCs w:val="32"/>
        </w:rPr>
        <w:t>（一）项目概况</w:t>
      </w:r>
    </w:p>
    <w:p>
      <w:pPr>
        <w:spacing w:line="520" w:lineRule="exact"/>
        <w:ind w:firstLine="640" w:firstLineChars="200"/>
        <w:outlineLvl w:val="0"/>
        <w:rPr>
          <w:rFonts w:ascii="仿宋_GB2312" w:eastAsia="仿宋_GB2312"/>
          <w:color w:val="000000"/>
          <w:sz w:val="32"/>
          <w:szCs w:val="32"/>
        </w:rPr>
      </w:pPr>
      <w:r>
        <w:rPr>
          <w:rFonts w:hint="eastAsia" w:ascii="仿宋_GB2312" w:eastAsia="仿宋_GB2312"/>
          <w:color w:val="000000"/>
          <w:sz w:val="32"/>
          <w:szCs w:val="32"/>
        </w:rPr>
        <w:t>按照《政协章程》规定，政协地方委员会每年至少举行一次政协委员全体会议。门头沟区政协第十一届四次会议项目经费主要用于支付政协全会的会议费，涉及参会委员的住宿费、餐费、会议交通费、材料费、会场租赁费及其他会议费用等预算总计120万元。保障政协委员全体会议正常举行。</w:t>
      </w:r>
    </w:p>
    <w:p>
      <w:pPr>
        <w:spacing w:line="520" w:lineRule="exact"/>
        <w:ind w:firstLine="643" w:firstLineChars="200"/>
        <w:outlineLvl w:val="0"/>
        <w:rPr>
          <w:rFonts w:ascii="楷体_GB2312" w:eastAsia="楷体_GB2312"/>
          <w:b/>
          <w:color w:val="000000"/>
          <w:sz w:val="32"/>
          <w:szCs w:val="32"/>
        </w:rPr>
      </w:pPr>
      <w:r>
        <w:rPr>
          <w:rFonts w:hint="eastAsia" w:ascii="楷体_GB2312" w:eastAsia="楷体_GB2312"/>
          <w:b/>
          <w:color w:val="000000"/>
          <w:sz w:val="32"/>
          <w:szCs w:val="32"/>
        </w:rPr>
        <w:t>（二）项目资金到位及执行情况</w:t>
      </w:r>
      <w:bookmarkStart w:id="0" w:name="_GoBack"/>
      <w:bookmarkEnd w:id="0"/>
    </w:p>
    <w:p>
      <w:pPr>
        <w:spacing w:line="520" w:lineRule="exact"/>
        <w:ind w:firstLine="640" w:firstLineChars="200"/>
        <w:outlineLvl w:val="0"/>
        <w:rPr>
          <w:rFonts w:ascii="仿宋_GB2312" w:eastAsia="仿宋_GB2312"/>
          <w:color w:val="000000"/>
          <w:sz w:val="32"/>
          <w:szCs w:val="32"/>
        </w:rPr>
      </w:pPr>
      <w:r>
        <w:rPr>
          <w:rFonts w:hint="eastAsia" w:ascii="仿宋_GB2312" w:eastAsia="仿宋_GB2312"/>
          <w:color w:val="000000"/>
          <w:sz w:val="32"/>
          <w:szCs w:val="32"/>
        </w:rPr>
        <w:t>本项目预算总额120万元，其中：中央</w:t>
      </w:r>
      <w:r>
        <w:rPr>
          <w:rFonts w:ascii="仿宋_GB2312" w:eastAsia="仿宋_GB2312"/>
          <w:color w:val="000000"/>
          <w:sz w:val="32"/>
          <w:szCs w:val="32"/>
        </w:rPr>
        <w:t>转移支付</w:t>
      </w:r>
      <w:r>
        <w:rPr>
          <w:rFonts w:hint="eastAsia" w:ascii="仿宋_GB2312" w:eastAsia="仿宋_GB2312"/>
          <w:color w:val="000000"/>
          <w:sz w:val="32"/>
          <w:szCs w:val="32"/>
        </w:rPr>
        <w:t>资金0万元</w:t>
      </w:r>
      <w:r>
        <w:rPr>
          <w:rFonts w:ascii="仿宋_GB2312" w:eastAsia="仿宋_GB2312"/>
          <w:color w:val="000000"/>
          <w:sz w:val="32"/>
          <w:szCs w:val="32"/>
        </w:rPr>
        <w:t>、市级转移支付</w:t>
      </w:r>
      <w:r>
        <w:rPr>
          <w:rFonts w:hint="eastAsia" w:ascii="仿宋_GB2312" w:eastAsia="仿宋_GB2312"/>
          <w:color w:val="000000"/>
          <w:sz w:val="32"/>
          <w:szCs w:val="32"/>
        </w:rPr>
        <w:t>资金0万元</w:t>
      </w:r>
      <w:r>
        <w:rPr>
          <w:rFonts w:ascii="仿宋_GB2312" w:eastAsia="仿宋_GB2312"/>
          <w:color w:val="000000"/>
          <w:sz w:val="32"/>
          <w:szCs w:val="32"/>
        </w:rPr>
        <w:t>、</w:t>
      </w:r>
      <w:r>
        <w:rPr>
          <w:rFonts w:hint="eastAsia" w:ascii="仿宋_GB2312" w:eastAsia="仿宋_GB2312"/>
          <w:color w:val="000000"/>
          <w:sz w:val="32"/>
          <w:szCs w:val="32"/>
        </w:rPr>
        <w:t>区级财政资金120万元、</w:t>
      </w:r>
      <w:r>
        <w:rPr>
          <w:rFonts w:ascii="仿宋_GB2312" w:eastAsia="仿宋_GB2312"/>
          <w:color w:val="000000"/>
          <w:sz w:val="32"/>
          <w:szCs w:val="32"/>
        </w:rPr>
        <w:t>其他资金</w:t>
      </w:r>
      <w:r>
        <w:rPr>
          <w:rFonts w:hint="eastAsia" w:ascii="仿宋_GB2312" w:eastAsia="仿宋_GB2312"/>
          <w:color w:val="000000"/>
          <w:sz w:val="32"/>
          <w:szCs w:val="32"/>
        </w:rPr>
        <w:t>120万元。本项目全年共支出111.92万元，其中：中央</w:t>
      </w:r>
      <w:r>
        <w:rPr>
          <w:rFonts w:ascii="仿宋_GB2312" w:eastAsia="仿宋_GB2312"/>
          <w:color w:val="000000"/>
          <w:sz w:val="32"/>
          <w:szCs w:val="32"/>
        </w:rPr>
        <w:t>转移支付</w:t>
      </w:r>
      <w:r>
        <w:rPr>
          <w:rFonts w:hint="eastAsia" w:ascii="仿宋_GB2312" w:eastAsia="仿宋_GB2312"/>
          <w:color w:val="000000"/>
          <w:sz w:val="32"/>
          <w:szCs w:val="32"/>
        </w:rPr>
        <w:t>资金支出0万元</w:t>
      </w:r>
      <w:r>
        <w:rPr>
          <w:rFonts w:ascii="仿宋_GB2312" w:eastAsia="仿宋_GB2312"/>
          <w:color w:val="000000"/>
          <w:sz w:val="32"/>
          <w:szCs w:val="32"/>
        </w:rPr>
        <w:t>、市级转移支付</w:t>
      </w:r>
      <w:r>
        <w:rPr>
          <w:rFonts w:hint="eastAsia" w:ascii="仿宋_GB2312" w:eastAsia="仿宋_GB2312"/>
          <w:color w:val="000000"/>
          <w:sz w:val="32"/>
          <w:szCs w:val="32"/>
        </w:rPr>
        <w:t>资金支出0万元</w:t>
      </w:r>
      <w:r>
        <w:rPr>
          <w:rFonts w:ascii="仿宋_GB2312" w:eastAsia="仿宋_GB2312"/>
          <w:color w:val="000000"/>
          <w:sz w:val="32"/>
          <w:szCs w:val="32"/>
        </w:rPr>
        <w:t>、</w:t>
      </w:r>
      <w:r>
        <w:rPr>
          <w:rFonts w:hint="eastAsia" w:ascii="仿宋_GB2312" w:eastAsia="仿宋_GB2312"/>
          <w:color w:val="000000"/>
          <w:sz w:val="32"/>
          <w:szCs w:val="32"/>
        </w:rPr>
        <w:t>区级财政资金支出111.92万元、</w:t>
      </w:r>
      <w:r>
        <w:rPr>
          <w:rFonts w:ascii="仿宋_GB2312" w:eastAsia="仿宋_GB2312"/>
          <w:color w:val="000000"/>
          <w:sz w:val="32"/>
          <w:szCs w:val="32"/>
        </w:rPr>
        <w:t>其他资金</w:t>
      </w:r>
      <w:r>
        <w:rPr>
          <w:rFonts w:hint="eastAsia" w:ascii="仿宋_GB2312" w:eastAsia="仿宋_GB2312"/>
          <w:color w:val="000000"/>
          <w:sz w:val="32"/>
          <w:szCs w:val="32"/>
        </w:rPr>
        <w:t>支出0万元。</w:t>
      </w:r>
    </w:p>
    <w:p>
      <w:pPr>
        <w:spacing w:line="520" w:lineRule="exact"/>
        <w:ind w:firstLine="643" w:firstLineChars="200"/>
        <w:outlineLvl w:val="0"/>
        <w:rPr>
          <w:rFonts w:ascii="楷体_GB2312" w:eastAsia="楷体_GB2312"/>
          <w:b/>
          <w:color w:val="000000"/>
          <w:sz w:val="32"/>
          <w:szCs w:val="32"/>
        </w:rPr>
      </w:pPr>
      <w:r>
        <w:rPr>
          <w:rFonts w:hint="eastAsia" w:ascii="楷体_GB2312" w:eastAsia="楷体_GB2312"/>
          <w:b/>
          <w:color w:val="000000"/>
          <w:sz w:val="32"/>
          <w:szCs w:val="32"/>
        </w:rPr>
        <w:t>（三）项目绩效目标、绩效指标设定情况</w:t>
      </w:r>
    </w:p>
    <w:p>
      <w:pPr>
        <w:spacing w:line="520" w:lineRule="exact"/>
        <w:ind w:firstLine="640" w:firstLineChars="200"/>
        <w:outlineLvl w:val="0"/>
        <w:rPr>
          <w:rFonts w:ascii="仿宋_GB2312" w:eastAsia="仿宋_GB2312"/>
          <w:color w:val="000000"/>
          <w:sz w:val="32"/>
          <w:szCs w:val="32"/>
        </w:rPr>
      </w:pPr>
      <w:r>
        <w:rPr>
          <w:rFonts w:hint="eastAsia" w:ascii="仿宋_GB2312" w:eastAsia="仿宋_GB2312"/>
          <w:color w:val="000000"/>
          <w:sz w:val="32"/>
          <w:szCs w:val="32"/>
        </w:rPr>
        <w:t>总体的绩效目标为保障政协委员全体会议正常举行。2025</w:t>
      </w:r>
      <w:r>
        <w:rPr>
          <w:rFonts w:hint="eastAsia" w:ascii="仿宋_GB2312" w:hAnsi="Calibri" w:eastAsia="仿宋_GB2312" w:cs="Times New Roman"/>
          <w:color w:val="000000"/>
          <w:sz w:val="32"/>
          <w:szCs w:val="32"/>
        </w:rPr>
        <w:t>年1</w:t>
      </w:r>
      <w:r>
        <w:rPr>
          <w:rFonts w:hint="eastAsia" w:ascii="仿宋_GB2312" w:eastAsia="仿宋_GB2312"/>
          <w:color w:val="000000"/>
          <w:sz w:val="32"/>
          <w:szCs w:val="32"/>
        </w:rPr>
        <w:t>2</w:t>
      </w:r>
      <w:r>
        <w:rPr>
          <w:rFonts w:hint="eastAsia" w:ascii="仿宋_GB2312" w:hAnsi="Calibri" w:eastAsia="仿宋_GB2312" w:cs="Times New Roman"/>
          <w:color w:val="000000"/>
          <w:sz w:val="32"/>
          <w:szCs w:val="32"/>
        </w:rPr>
        <w:t>月完成</w:t>
      </w:r>
      <w:r>
        <w:rPr>
          <w:rFonts w:hint="eastAsia" w:ascii="仿宋_GB2312" w:eastAsia="仿宋_GB2312"/>
          <w:color w:val="000000"/>
          <w:sz w:val="32"/>
          <w:szCs w:val="32"/>
        </w:rPr>
        <w:t>完成全部</w:t>
      </w:r>
      <w:r>
        <w:rPr>
          <w:rFonts w:hint="eastAsia" w:ascii="仿宋_GB2312" w:hAnsi="Calibri" w:eastAsia="仿宋_GB2312" w:cs="Times New Roman"/>
          <w:color w:val="000000"/>
          <w:sz w:val="32"/>
          <w:szCs w:val="32"/>
        </w:rPr>
        <w:t>项目</w:t>
      </w:r>
      <w:r>
        <w:rPr>
          <w:rFonts w:hint="eastAsia" w:ascii="仿宋_GB2312" w:eastAsia="仿宋_GB2312"/>
          <w:color w:val="000000"/>
          <w:sz w:val="32"/>
          <w:szCs w:val="32"/>
        </w:rPr>
        <w:t>支出</w:t>
      </w:r>
      <w:r>
        <w:rPr>
          <w:rFonts w:hint="eastAsia" w:ascii="仿宋_GB2312" w:hAnsi="Calibri" w:eastAsia="仿宋_GB2312" w:cs="Times New Roman"/>
          <w:color w:val="000000"/>
          <w:sz w:val="32"/>
          <w:szCs w:val="32"/>
        </w:rPr>
        <w:t>，支出资金控制在</w:t>
      </w:r>
      <w:r>
        <w:rPr>
          <w:rFonts w:hint="eastAsia" w:ascii="仿宋_GB2312" w:eastAsia="仿宋_GB2312"/>
          <w:color w:val="000000"/>
          <w:sz w:val="32"/>
          <w:szCs w:val="32"/>
        </w:rPr>
        <w:t>120</w:t>
      </w:r>
      <w:r>
        <w:rPr>
          <w:rFonts w:hint="eastAsia" w:ascii="仿宋_GB2312" w:hAnsi="Calibri" w:eastAsia="仿宋_GB2312" w:cs="Times New Roman"/>
          <w:color w:val="000000"/>
          <w:sz w:val="32"/>
          <w:szCs w:val="32"/>
        </w:rPr>
        <w:t>万元以内。</w:t>
      </w:r>
    </w:p>
    <w:p>
      <w:pPr>
        <w:spacing w:line="520" w:lineRule="exact"/>
        <w:ind w:firstLine="643" w:firstLineChars="200"/>
        <w:outlineLvl w:val="0"/>
        <w:rPr>
          <w:rFonts w:ascii="楷体_GB2312" w:eastAsia="楷体_GB2312"/>
          <w:b/>
          <w:color w:val="000000"/>
          <w:sz w:val="32"/>
          <w:szCs w:val="32"/>
        </w:rPr>
      </w:pPr>
      <w:r>
        <w:rPr>
          <w:rFonts w:hint="eastAsia" w:ascii="楷体_GB2312" w:eastAsia="楷体_GB2312"/>
          <w:b/>
          <w:color w:val="000000"/>
          <w:sz w:val="32"/>
          <w:szCs w:val="32"/>
        </w:rPr>
        <w:t>（四）项目资金管理情况分析</w:t>
      </w:r>
    </w:p>
    <w:p>
      <w:pPr>
        <w:spacing w:line="520" w:lineRule="exact"/>
        <w:ind w:firstLine="640" w:firstLineChars="200"/>
        <w:outlineLvl w:val="0"/>
        <w:rPr>
          <w:rFonts w:ascii="仿宋_GB2312" w:eastAsia="仿宋_GB2312"/>
          <w:color w:val="000000"/>
          <w:sz w:val="32"/>
          <w:szCs w:val="32"/>
        </w:rPr>
      </w:pPr>
      <w:r>
        <w:rPr>
          <w:rFonts w:hint="eastAsia" w:ascii="仿宋_GB2312" w:hAnsi="Calibri" w:eastAsia="仿宋_GB2312" w:cs="Times New Roman"/>
          <w:color w:val="000000"/>
          <w:sz w:val="32"/>
          <w:szCs w:val="32"/>
        </w:rPr>
        <w:t>根据相关规定和要求，全部资金用于</w:t>
      </w:r>
      <w:r>
        <w:rPr>
          <w:rFonts w:hint="eastAsia" w:ascii="仿宋_GB2312" w:eastAsia="仿宋_GB2312"/>
          <w:color w:val="000000"/>
          <w:sz w:val="32"/>
          <w:szCs w:val="32"/>
        </w:rPr>
        <w:t>项目支出，对项目资金的支出执行按照资金管理制度、绩效目标编制</w:t>
      </w:r>
      <w:r>
        <w:rPr>
          <w:rFonts w:ascii="仿宋_GB2312" w:eastAsia="仿宋_GB2312"/>
          <w:color w:val="000000"/>
          <w:sz w:val="32"/>
          <w:szCs w:val="32"/>
        </w:rPr>
        <w:t>、</w:t>
      </w:r>
      <w:r>
        <w:rPr>
          <w:rFonts w:hint="eastAsia" w:ascii="仿宋_GB2312" w:eastAsia="仿宋_GB2312"/>
          <w:color w:val="000000"/>
          <w:sz w:val="32"/>
          <w:szCs w:val="32"/>
        </w:rPr>
        <w:t>开展绩效监控和绩效评估</w:t>
      </w:r>
      <w:r>
        <w:rPr>
          <w:rFonts w:ascii="仿宋_GB2312" w:eastAsia="仿宋_GB2312"/>
          <w:color w:val="000000"/>
          <w:sz w:val="32"/>
          <w:szCs w:val="32"/>
        </w:rPr>
        <w:t>、</w:t>
      </w:r>
      <w:r>
        <w:rPr>
          <w:rFonts w:hint="eastAsia" w:ascii="仿宋_GB2312" w:eastAsia="仿宋_GB2312"/>
          <w:color w:val="000000"/>
          <w:sz w:val="32"/>
          <w:szCs w:val="32"/>
        </w:rPr>
        <w:t>评价。</w:t>
      </w:r>
    </w:p>
    <w:p>
      <w:pPr>
        <w:spacing w:line="520" w:lineRule="exact"/>
        <w:ind w:firstLine="640" w:firstLineChars="200"/>
        <w:rPr>
          <w:rFonts w:ascii="黑体" w:hAnsi="黑体" w:eastAsia="黑体" w:cs="黑体"/>
          <w:bCs/>
          <w:sz w:val="32"/>
          <w:szCs w:val="32"/>
        </w:rPr>
      </w:pPr>
      <w:r>
        <w:rPr>
          <w:rFonts w:hint="eastAsia" w:ascii="黑体" w:hAnsi="黑体" w:eastAsia="黑体" w:cs="黑体"/>
          <w:bCs/>
          <w:sz w:val="32"/>
          <w:szCs w:val="32"/>
        </w:rPr>
        <w:t>二、绩效自评结论</w:t>
      </w:r>
    </w:p>
    <w:p>
      <w:pPr>
        <w:spacing w:line="520" w:lineRule="exact"/>
        <w:ind w:firstLine="640" w:firstLineChars="200"/>
        <w:rPr>
          <w:rFonts w:ascii="仿宋_GB2312" w:hAnsi="黑体" w:eastAsia="仿宋_GB2312" w:cs="黑体"/>
          <w:bCs/>
          <w:sz w:val="32"/>
          <w:szCs w:val="32"/>
        </w:rPr>
      </w:pPr>
      <w:r>
        <w:rPr>
          <w:rFonts w:hint="eastAsia" w:ascii="仿宋_GB2312" w:hAnsi="黑体" w:eastAsia="仿宋_GB2312" w:cs="黑体"/>
          <w:bCs/>
          <w:sz w:val="32"/>
          <w:szCs w:val="32"/>
        </w:rPr>
        <w:t>绩效自评总分：100分</w:t>
      </w:r>
    </w:p>
    <w:p>
      <w:pPr>
        <w:spacing w:line="520" w:lineRule="exact"/>
        <w:ind w:firstLine="640" w:firstLineChars="200"/>
        <w:rPr>
          <w:rFonts w:ascii="黑体" w:hAnsi="黑体" w:eastAsia="黑体" w:cs="黑体"/>
          <w:bCs/>
          <w:sz w:val="32"/>
          <w:szCs w:val="32"/>
        </w:rPr>
      </w:pPr>
      <w:r>
        <w:rPr>
          <w:rFonts w:hint="eastAsia" w:ascii="黑体" w:hAnsi="黑体" w:eastAsia="黑体" w:cs="黑体"/>
          <w:bCs/>
          <w:sz w:val="32"/>
          <w:szCs w:val="32"/>
        </w:rPr>
        <w:t>三、绩效目标完成情况分析</w:t>
      </w:r>
    </w:p>
    <w:p>
      <w:pPr>
        <w:spacing w:line="520" w:lineRule="exact"/>
        <w:ind w:firstLine="643" w:firstLineChars="200"/>
        <w:outlineLvl w:val="0"/>
        <w:rPr>
          <w:rFonts w:ascii="楷体_GB2312" w:eastAsia="楷体_GB2312"/>
          <w:b/>
          <w:color w:val="000000"/>
          <w:sz w:val="32"/>
          <w:szCs w:val="32"/>
        </w:rPr>
      </w:pPr>
      <w:r>
        <w:rPr>
          <w:rFonts w:hint="eastAsia" w:ascii="楷体_GB2312" w:eastAsia="楷体_GB2312"/>
          <w:b/>
          <w:color w:val="000000"/>
          <w:sz w:val="32"/>
          <w:szCs w:val="32"/>
        </w:rPr>
        <w:t>（一）总体绩效目标完成情况分析</w:t>
      </w:r>
    </w:p>
    <w:p>
      <w:pPr>
        <w:spacing w:line="520" w:lineRule="exact"/>
        <w:ind w:firstLine="640" w:firstLineChars="200"/>
        <w:outlineLvl w:val="0"/>
        <w:rPr>
          <w:rFonts w:ascii="仿宋_GB2312" w:eastAsia="仿宋_GB2312"/>
          <w:color w:val="000000"/>
          <w:sz w:val="32"/>
          <w:szCs w:val="32"/>
        </w:rPr>
      </w:pPr>
      <w:r>
        <w:rPr>
          <w:rFonts w:hint="eastAsia" w:ascii="仿宋_GB2312" w:eastAsia="仿宋_GB2312"/>
          <w:color w:val="000000"/>
          <w:sz w:val="32"/>
          <w:szCs w:val="32"/>
        </w:rPr>
        <w:t>总体绩效目标完成，保障政协委员全体会议正常举行。</w:t>
      </w:r>
    </w:p>
    <w:p>
      <w:pPr>
        <w:spacing w:line="520" w:lineRule="exact"/>
        <w:ind w:firstLine="643" w:firstLineChars="200"/>
        <w:outlineLvl w:val="0"/>
        <w:rPr>
          <w:rFonts w:ascii="楷体_GB2312" w:eastAsia="楷体_GB2312"/>
          <w:b/>
          <w:color w:val="000000"/>
          <w:sz w:val="32"/>
          <w:szCs w:val="32"/>
        </w:rPr>
      </w:pPr>
      <w:r>
        <w:rPr>
          <w:rFonts w:hint="eastAsia" w:ascii="楷体_GB2312" w:eastAsia="楷体_GB2312"/>
          <w:b/>
          <w:color w:val="000000"/>
          <w:sz w:val="32"/>
          <w:szCs w:val="32"/>
        </w:rPr>
        <w:t>（二）项目绩效指标完成情况分析</w:t>
      </w:r>
    </w:p>
    <w:p>
      <w:pPr>
        <w:spacing w:line="520" w:lineRule="exact"/>
        <w:ind w:firstLine="640" w:firstLineChars="200"/>
        <w:rPr>
          <w:rFonts w:ascii="仿宋_GB2312" w:hAnsi="黑体" w:eastAsia="仿宋_GB2312" w:cs="黑体"/>
          <w:bCs/>
          <w:sz w:val="32"/>
          <w:szCs w:val="32"/>
        </w:rPr>
      </w:pPr>
      <w:r>
        <w:rPr>
          <w:rFonts w:hint="eastAsia" w:ascii="仿宋_GB2312" w:hAnsi="黑体" w:eastAsia="仿宋_GB2312" w:cs="黑体"/>
          <w:bCs/>
          <w:sz w:val="32"/>
          <w:szCs w:val="32"/>
        </w:rPr>
        <w:t>1.产出指标完成情况分析。</w:t>
      </w:r>
    </w:p>
    <w:p>
      <w:pPr>
        <w:spacing w:line="520" w:lineRule="exact"/>
        <w:ind w:firstLine="640" w:firstLineChars="200"/>
        <w:rPr>
          <w:rFonts w:ascii="仿宋_GB2312" w:hAnsi="黑体" w:eastAsia="仿宋_GB2312" w:cs="黑体"/>
          <w:bCs/>
          <w:sz w:val="32"/>
          <w:szCs w:val="32"/>
        </w:rPr>
      </w:pPr>
      <w:r>
        <w:rPr>
          <w:rFonts w:hint="eastAsia" w:ascii="仿宋_GB2312" w:hAnsi="黑体" w:eastAsia="仿宋_GB2312" w:cs="黑体"/>
          <w:bCs/>
          <w:sz w:val="32"/>
          <w:szCs w:val="32"/>
        </w:rPr>
        <w:t>（1）数量指标：完成。</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（2）质量指标：完成。</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（3）进度指标：按进度完成。</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（4）成本指标：控制在120万之内</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2.效益指标完成情况分析。</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（1）经济效益：完成。</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（2）社会效益：完成。</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（3）生态效益：无。</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（4）可持续影响：可持续。</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3.满意度指标完成情况分析。</w:t>
      </w:r>
    </w:p>
    <w:p>
      <w:pPr>
        <w:spacing w:line="52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委员满意度</w:t>
      </w:r>
      <w:r>
        <w:rPr>
          <w:rFonts w:hint="eastAsia" w:ascii="仿宋_GB2312" w:eastAsia="仿宋_GB2312"/>
          <w:sz w:val="32"/>
          <w:szCs w:val="32"/>
          <w:lang w:val="en-US" w:eastAsia="zh-CN"/>
        </w:rPr>
        <w:t>90%以上。</w:t>
      </w:r>
    </w:p>
    <w:p>
      <w:pPr>
        <w:spacing w:line="520" w:lineRule="exact"/>
        <w:ind w:firstLine="640" w:firstLineChars="200"/>
        <w:rPr>
          <w:rFonts w:ascii="黑体" w:hAnsi="黑体" w:eastAsia="黑体"/>
          <w:sz w:val="32"/>
          <w:szCs w:val="32"/>
        </w:rPr>
      </w:pPr>
      <w:r>
        <w:rPr>
          <w:rFonts w:hint="eastAsia" w:ascii="黑体" w:hAnsi="黑体" w:eastAsia="黑体"/>
          <w:sz w:val="32"/>
          <w:szCs w:val="32"/>
        </w:rPr>
        <w:t>四、发现的主要问题和改进措施</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无。</w:t>
      </w:r>
    </w:p>
    <w:p>
      <w:pPr>
        <w:spacing w:line="520" w:lineRule="exact"/>
        <w:ind w:firstLine="640" w:firstLineChars="200"/>
        <w:rPr>
          <w:rFonts w:ascii="黑体" w:hAnsi="黑体" w:eastAsia="黑体"/>
          <w:sz w:val="32"/>
          <w:szCs w:val="32"/>
        </w:rPr>
      </w:pPr>
      <w:r>
        <w:rPr>
          <w:rFonts w:hint="eastAsia" w:ascii="黑体" w:hAnsi="黑体" w:eastAsia="黑体"/>
          <w:sz w:val="32"/>
          <w:szCs w:val="32"/>
        </w:rPr>
        <w:t>五、有关</w:t>
      </w:r>
      <w:r>
        <w:rPr>
          <w:rFonts w:ascii="黑体" w:hAnsi="黑体" w:eastAsia="黑体"/>
          <w:sz w:val="32"/>
          <w:szCs w:val="32"/>
        </w:rPr>
        <w:t>建议及</w:t>
      </w:r>
      <w:r>
        <w:rPr>
          <w:rFonts w:hint="eastAsia" w:ascii="黑体" w:hAnsi="黑体" w:eastAsia="黑体"/>
          <w:sz w:val="32"/>
          <w:szCs w:val="32"/>
        </w:rPr>
        <w:t>其他需要说明的情况</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无。</w:t>
      </w:r>
    </w:p>
    <w:p>
      <w:pPr>
        <w:spacing w:line="520" w:lineRule="exact"/>
        <w:ind w:firstLine="640" w:firstLineChars="200"/>
        <w:rPr>
          <w:rFonts w:ascii="仿宋_GB2312" w:eastAsia="仿宋_GB2312"/>
          <w:sz w:val="32"/>
          <w:szCs w:val="32"/>
        </w:rPr>
      </w:pPr>
    </w:p>
    <w:p>
      <w:pPr>
        <w:spacing w:line="520" w:lineRule="exact"/>
        <w:ind w:left="6660" w:leftChars="200" w:hanging="6240" w:hangingChars="1950"/>
        <w:jc w:val="left"/>
        <w:rPr>
          <w:rFonts w:ascii="仿宋_GB2312" w:eastAsia="仿宋_GB2312"/>
          <w:sz w:val="32"/>
          <w:szCs w:val="32"/>
        </w:rPr>
      </w:pPr>
    </w:p>
    <w:sectPr>
      <w:pgSz w:w="11906" w:h="16838"/>
      <w:pgMar w:top="1440" w:right="1800" w:bottom="127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60B17"/>
    <w:rsid w:val="00013E3D"/>
    <w:rsid w:val="00022E11"/>
    <w:rsid w:val="000269DC"/>
    <w:rsid w:val="00047DC0"/>
    <w:rsid w:val="0007060D"/>
    <w:rsid w:val="000A1062"/>
    <w:rsid w:val="000A23F6"/>
    <w:rsid w:val="000C3ADA"/>
    <w:rsid w:val="00101019"/>
    <w:rsid w:val="001312FC"/>
    <w:rsid w:val="001451E0"/>
    <w:rsid w:val="001F4635"/>
    <w:rsid w:val="00203391"/>
    <w:rsid w:val="00205468"/>
    <w:rsid w:val="00210B4C"/>
    <w:rsid w:val="002140C0"/>
    <w:rsid w:val="002E58C9"/>
    <w:rsid w:val="0031524F"/>
    <w:rsid w:val="00330537"/>
    <w:rsid w:val="00334AFF"/>
    <w:rsid w:val="003727E8"/>
    <w:rsid w:val="00377BDC"/>
    <w:rsid w:val="00392D09"/>
    <w:rsid w:val="003B3B58"/>
    <w:rsid w:val="003C42FF"/>
    <w:rsid w:val="003F26F8"/>
    <w:rsid w:val="004503E3"/>
    <w:rsid w:val="004561D4"/>
    <w:rsid w:val="004B7FE1"/>
    <w:rsid w:val="004F49B9"/>
    <w:rsid w:val="00504BA3"/>
    <w:rsid w:val="00530685"/>
    <w:rsid w:val="00543B65"/>
    <w:rsid w:val="0054688F"/>
    <w:rsid w:val="00554136"/>
    <w:rsid w:val="00565DE2"/>
    <w:rsid w:val="005D4ED9"/>
    <w:rsid w:val="005E6415"/>
    <w:rsid w:val="005F03EA"/>
    <w:rsid w:val="006009DB"/>
    <w:rsid w:val="00611E84"/>
    <w:rsid w:val="00612E51"/>
    <w:rsid w:val="006305D3"/>
    <w:rsid w:val="00634632"/>
    <w:rsid w:val="0064412D"/>
    <w:rsid w:val="00676705"/>
    <w:rsid w:val="006D4D7E"/>
    <w:rsid w:val="006D6351"/>
    <w:rsid w:val="006E4B81"/>
    <w:rsid w:val="006F376B"/>
    <w:rsid w:val="00740C29"/>
    <w:rsid w:val="00795987"/>
    <w:rsid w:val="007C3E7C"/>
    <w:rsid w:val="007D661E"/>
    <w:rsid w:val="007F46A7"/>
    <w:rsid w:val="00821DDE"/>
    <w:rsid w:val="00835A6F"/>
    <w:rsid w:val="0084221A"/>
    <w:rsid w:val="00845359"/>
    <w:rsid w:val="00851994"/>
    <w:rsid w:val="008651F7"/>
    <w:rsid w:val="008728BA"/>
    <w:rsid w:val="00880D15"/>
    <w:rsid w:val="008C09DD"/>
    <w:rsid w:val="009127C3"/>
    <w:rsid w:val="00917FE5"/>
    <w:rsid w:val="009507F7"/>
    <w:rsid w:val="009976F0"/>
    <w:rsid w:val="009B27A6"/>
    <w:rsid w:val="009D700F"/>
    <w:rsid w:val="00A127E4"/>
    <w:rsid w:val="00A4171D"/>
    <w:rsid w:val="00A5212E"/>
    <w:rsid w:val="00A52489"/>
    <w:rsid w:val="00A61FC1"/>
    <w:rsid w:val="00A939A7"/>
    <w:rsid w:val="00AD3535"/>
    <w:rsid w:val="00AD7689"/>
    <w:rsid w:val="00AE0078"/>
    <w:rsid w:val="00AE698C"/>
    <w:rsid w:val="00B6357B"/>
    <w:rsid w:val="00B83292"/>
    <w:rsid w:val="00B83A7C"/>
    <w:rsid w:val="00BC666D"/>
    <w:rsid w:val="00BF6BCD"/>
    <w:rsid w:val="00C01D2B"/>
    <w:rsid w:val="00C531AA"/>
    <w:rsid w:val="00C75ABE"/>
    <w:rsid w:val="00C8361D"/>
    <w:rsid w:val="00CA72AB"/>
    <w:rsid w:val="00CC168C"/>
    <w:rsid w:val="00CC379E"/>
    <w:rsid w:val="00CD1D34"/>
    <w:rsid w:val="00D22818"/>
    <w:rsid w:val="00D36848"/>
    <w:rsid w:val="00D374F7"/>
    <w:rsid w:val="00D50DEF"/>
    <w:rsid w:val="00D60B17"/>
    <w:rsid w:val="00D66A17"/>
    <w:rsid w:val="00D860F4"/>
    <w:rsid w:val="00D91ABE"/>
    <w:rsid w:val="00D95065"/>
    <w:rsid w:val="00DC020E"/>
    <w:rsid w:val="00E11A96"/>
    <w:rsid w:val="00E37F80"/>
    <w:rsid w:val="00E67831"/>
    <w:rsid w:val="00EC6591"/>
    <w:rsid w:val="00EF109F"/>
    <w:rsid w:val="00F207A8"/>
    <w:rsid w:val="00F24761"/>
    <w:rsid w:val="00F533DD"/>
    <w:rsid w:val="00F922BE"/>
    <w:rsid w:val="00FF5545"/>
    <w:rsid w:val="02485B00"/>
    <w:rsid w:val="1C5C5CD9"/>
    <w:rsid w:val="42434E67"/>
    <w:rsid w:val="73BC3B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126</Words>
  <Characters>720</Characters>
  <Lines>6</Lines>
  <Paragraphs>1</Paragraphs>
  <TotalTime>102</TotalTime>
  <ScaleCrop>false</ScaleCrop>
  <LinksUpToDate>false</LinksUpToDate>
  <CharactersWithSpaces>845</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2025-03-05T08:17:00Z</dcterms:created>
  <dc:creator>井文胜</dc:creator>
  <cp:lastModifiedBy>admin</cp:lastModifiedBy>
  <dcterms:modified xsi:type="dcterms:W3CDTF">2026-08-21T01:29:28Z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